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Club Safeguarding and Welfare Statement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Club welfare officer details and policy-compliance statement.</w:t>
      </w:r>
    </w:p>
    <w:p>
      <w:pPr>
        <w:spacing w:after="40" w:before="120"/>
      </w:pPr>
      <w:r>
        <w:rPr>
          <w:b/>
          <w:sz w:val="22"/>
        </w:rPr>
        <w:t>Club welfare / safeguarding officer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Required for affiliation where local rules require.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officer contact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officer training status</w:t>
      </w:r>
    </w:p>
    <w:p>
      <w:pPr>
        <w:spacing w:after="60"/>
      </w:pPr>
      <w:r>
        <w:rPr>
          <w:i/>
          <w:color w:val="6B7280"/>
          <w:sz w:val="17"/>
        </w:rPr>
        <w:t>Allow certificate upload and expiry date.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Welfare training certificate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Support requested from association</w:t>
      </w:r>
    </w:p>
    <w:p>
      <w:pPr>
        <w:spacing w:after="60"/>
      </w:pPr>
      <w:r>
        <w:rPr>
          <w:i/>
          <w:color w:val="6B7280"/>
          <w:sz w:val="17"/>
        </w:rPr>
        <w:t>Route to the regional/national welfare team.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