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Background Check and Suitability Application Pack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DBS-style background check and suitability process, generalised for any jurisdiction.</w:t>
      </w:r>
    </w:p>
    <w:p>
      <w:pPr>
        <w:spacing w:after="40" w:before="120"/>
      </w:pPr>
      <w:r>
        <w:rPr>
          <w:b/>
          <w:sz w:val="22"/>
        </w:rPr>
        <w:t>Applicant full legal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Current 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Role involves children or vulnerable adults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Yes, an enhanced / local-equivalent check is required where lawful.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Identity documents</w:t>
      </w:r>
    </w:p>
    <w:p>
      <w:pPr>
        <w:spacing w:after="60"/>
      </w:pPr>
      <w:r>
        <w:rPr>
          <w:i/>
          <w:color w:val="6B7280"/>
          <w:sz w:val="17"/>
        </w:rPr>
        <w:t>Prefer verifier confirmation over file retention where possible.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Background check consent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Store declaration version and timestamp.</w:t>
      </w:r>
    </w:p>
    <w:p>
      <w:pPr>
        <w:spacing w:after="60"/>
      </w:pPr>
      <w:r>
        <w:rPr>
          <w:sz w:val="22"/>
        </w:rPr>
        <w:t>☐ Yes, I consent to a background check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Applicant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